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740334">
        <w:rPr>
          <w:color w:val="auto"/>
          <w:sz w:val="24"/>
        </w:rPr>
        <w:t>7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9A5391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9A5391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1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740334">
        <w:rPr>
          <w:b/>
          <w:color w:val="auto"/>
          <w:sz w:val="24"/>
        </w:rPr>
        <w:t>Положение о проведении строительных (монтажных) работ</w:t>
      </w:r>
    </w:p>
    <w:p w:rsidR="00740334" w:rsidRPr="00740334" w:rsidRDefault="00740334" w:rsidP="00740334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740334">
        <w:rPr>
          <w:b/>
          <w:color w:val="auto"/>
          <w:sz w:val="24"/>
        </w:rPr>
        <w:t>в помещениях Многоквартирного дома.</w:t>
      </w:r>
    </w:p>
    <w:p w:rsidR="00740334" w:rsidRPr="00740334" w:rsidRDefault="00740334" w:rsidP="0074033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9A5391" w:rsidRPr="009A5391" w:rsidRDefault="009A5391" w:rsidP="009A5391">
      <w:pPr>
        <w:widowControl w:val="0"/>
        <w:numPr>
          <w:ilvl w:val="0"/>
          <w:numId w:val="42"/>
        </w:numPr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r w:rsidRPr="009A5391">
        <w:rPr>
          <w:b/>
          <w:color w:val="auto"/>
          <w:sz w:val="24"/>
          <w:u w:val="single"/>
        </w:rPr>
        <w:t>Собственники помещений</w:t>
      </w:r>
    </w:p>
    <w:p w:rsidR="009A5391" w:rsidRPr="009A5391" w:rsidRDefault="009A5391" w:rsidP="009A5391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r w:rsidRPr="009A5391">
        <w:rPr>
          <w:b/>
          <w:color w:val="auto"/>
          <w:sz w:val="24"/>
          <w:u w:val="single"/>
        </w:rPr>
        <w:t>(арендаторы, наёмные работники, строители) при проведении</w:t>
      </w:r>
    </w:p>
    <w:p w:rsidR="009A5391" w:rsidRPr="009A5391" w:rsidRDefault="009A5391" w:rsidP="009A5391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r w:rsidRPr="009A5391">
        <w:rPr>
          <w:b/>
          <w:color w:val="auto"/>
          <w:sz w:val="24"/>
          <w:u w:val="single"/>
        </w:rPr>
        <w:t>строительно-отделочных работ обязаны соблюдать следующие правила: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</w:p>
    <w:p w:rsidR="009A5391" w:rsidRPr="009A5391" w:rsidRDefault="009A5391" w:rsidP="00E265F4">
      <w:pPr>
        <w:widowControl w:val="0"/>
        <w:numPr>
          <w:ilvl w:val="0"/>
          <w:numId w:val="43"/>
        </w:numPr>
        <w:spacing w:after="0" w:line="240" w:lineRule="auto"/>
        <w:ind w:left="0" w:right="0" w:firstLine="851"/>
        <w:rPr>
          <w:color w:val="auto"/>
          <w:sz w:val="24"/>
        </w:rPr>
      </w:pPr>
      <w:r w:rsidRPr="009A5391">
        <w:rPr>
          <w:color w:val="auto"/>
          <w:sz w:val="24"/>
        </w:rPr>
        <w:t>Для осуществления доступа на территорию МКД, при проведении погрузо-разгрузочных работ, при производстве строительных и ремонтных работ руководствоваться «Правилами пользования общим имуществом» (Приложением № 6 настоящего договора).</w:t>
      </w:r>
    </w:p>
    <w:p w:rsidR="009A5391" w:rsidRPr="009A5391" w:rsidRDefault="009A5391" w:rsidP="00E265F4">
      <w:pPr>
        <w:widowControl w:val="0"/>
        <w:numPr>
          <w:ilvl w:val="0"/>
          <w:numId w:val="43"/>
        </w:numPr>
        <w:spacing w:after="0" w:line="240" w:lineRule="auto"/>
        <w:ind w:left="0" w:right="0" w:firstLine="851"/>
        <w:rPr>
          <w:color w:val="auto"/>
          <w:sz w:val="24"/>
        </w:rPr>
      </w:pPr>
      <w:r w:rsidRPr="009A5391">
        <w:rPr>
          <w:color w:val="auto"/>
          <w:sz w:val="24"/>
        </w:rPr>
        <w:t xml:space="preserve">Соблюдать требования противопожарной безопасности на территории МКД, не пользоваться открытым огнем, курить в специально отведенных местах для курения. Помещение необходимо оборудовать первичными средствами пожаротушения - огнетушителями (ОП-4 или ОУ-3) из расчета 2 огнетушителя на 100 </w:t>
      </w:r>
      <w:proofErr w:type="spellStart"/>
      <w:r w:rsidRPr="009A5391">
        <w:rPr>
          <w:color w:val="auto"/>
          <w:sz w:val="24"/>
        </w:rPr>
        <w:t>кв.м</w:t>
      </w:r>
      <w:proofErr w:type="spellEnd"/>
      <w:r w:rsidRPr="009A5391">
        <w:rPr>
          <w:color w:val="auto"/>
          <w:sz w:val="24"/>
        </w:rPr>
        <w:t>. площади помещения.</w:t>
      </w:r>
    </w:p>
    <w:p w:rsidR="009A5391" w:rsidRPr="009A5391" w:rsidRDefault="009A5391" w:rsidP="00E265F4">
      <w:pPr>
        <w:widowControl w:val="0"/>
        <w:numPr>
          <w:ilvl w:val="0"/>
          <w:numId w:val="43"/>
        </w:numPr>
        <w:spacing w:after="0" w:line="240" w:lineRule="auto"/>
        <w:ind w:left="0" w:right="0" w:firstLine="851"/>
        <w:rPr>
          <w:color w:val="auto"/>
          <w:sz w:val="24"/>
        </w:rPr>
      </w:pPr>
      <w:r w:rsidRPr="009A5391">
        <w:rPr>
          <w:color w:val="auto"/>
          <w:sz w:val="24"/>
        </w:rPr>
        <w:t>Строго соблюдать требования санитарной гигиены. До начала работ в помещении Собственник обязан обеспечить рабочих, санитарно-гигиеническим оборудованием (унитаз, раковина).</w:t>
      </w:r>
    </w:p>
    <w:p w:rsidR="009A5391" w:rsidRDefault="009A5391" w:rsidP="00E265F4">
      <w:pPr>
        <w:widowControl w:val="0"/>
        <w:numPr>
          <w:ilvl w:val="0"/>
          <w:numId w:val="43"/>
        </w:numPr>
        <w:spacing w:after="0" w:line="240" w:lineRule="auto"/>
        <w:ind w:left="0" w:right="0" w:firstLine="851"/>
        <w:rPr>
          <w:color w:val="auto"/>
          <w:sz w:val="24"/>
        </w:rPr>
      </w:pPr>
      <w:r w:rsidRPr="009A5391">
        <w:rPr>
          <w:color w:val="auto"/>
          <w:sz w:val="24"/>
        </w:rPr>
        <w:t>Строго руководствоваться регламентами выполнения работ, согласно Раздела 3 настоящего Приложения.</w:t>
      </w:r>
    </w:p>
    <w:p w:rsidR="00E265F4" w:rsidRPr="009A5391" w:rsidRDefault="00E265F4" w:rsidP="00E265F4">
      <w:pPr>
        <w:widowControl w:val="0"/>
        <w:spacing w:after="0" w:line="240" w:lineRule="auto"/>
        <w:ind w:left="851" w:right="0" w:firstLine="0"/>
        <w:rPr>
          <w:color w:val="auto"/>
          <w:sz w:val="24"/>
        </w:rPr>
      </w:pPr>
    </w:p>
    <w:p w:rsidR="009A5391" w:rsidRPr="009A5391" w:rsidRDefault="009A5391" w:rsidP="009A5391">
      <w:pPr>
        <w:widowControl w:val="0"/>
        <w:numPr>
          <w:ilvl w:val="0"/>
          <w:numId w:val="43"/>
        </w:numPr>
        <w:spacing w:after="0" w:line="240" w:lineRule="auto"/>
        <w:ind w:right="0"/>
        <w:rPr>
          <w:b/>
          <w:color w:val="auto"/>
          <w:sz w:val="24"/>
        </w:rPr>
      </w:pPr>
      <w:r w:rsidRPr="009A5391">
        <w:rPr>
          <w:b/>
          <w:i/>
          <w:color w:val="auto"/>
          <w:sz w:val="24"/>
          <w:u w:val="single"/>
        </w:rPr>
        <w:t>Запрещены строительно-монтажные и отделочные работы, при которых: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B95176"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ухудшаются условия эксплуатации МКД;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затрудняется доступ к инженерным коммуникациям, находящимся в зоне ответственности Управляющей компании в соответствии с настоящим Договором, а именно транзитные стояки холодного водоснабжения и канализации;</w:t>
      </w:r>
    </w:p>
    <w:p w:rsidR="009A5391" w:rsidRPr="00E265F4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 w:rsidR="009A5391" w:rsidRPr="00E265F4">
        <w:rPr>
          <w:color w:val="auto"/>
          <w:sz w:val="24"/>
        </w:rPr>
        <w:t>нарушается прочность, устойчивость несущих конструкций здания, или может произойти их разрушение;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устанавливаются отключающие или регулирующие устройства на общедомовых инженерных сетях;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уничтожаются или уменьшаются сечения вентиляционных каналов кухонь и санузлов;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увеличиваются нагрузки на несущие конструкции сверх допустимых по проекту;</w:t>
      </w:r>
    </w:p>
    <w:p w:rsid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увеличиваются нагрузки на инженерные системы: электрические, отопительные и пр.</w:t>
      </w:r>
    </w:p>
    <w:p w:rsidR="00E265F4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</w:p>
    <w:p w:rsidR="009A5391" w:rsidRPr="009A5391" w:rsidRDefault="009A5391" w:rsidP="009A5391">
      <w:pPr>
        <w:widowControl w:val="0"/>
        <w:numPr>
          <w:ilvl w:val="0"/>
          <w:numId w:val="43"/>
        </w:numPr>
        <w:spacing w:after="0" w:line="240" w:lineRule="auto"/>
        <w:ind w:right="0"/>
        <w:rPr>
          <w:b/>
          <w:color w:val="auto"/>
          <w:sz w:val="24"/>
        </w:rPr>
      </w:pPr>
      <w:r w:rsidRPr="009A5391">
        <w:rPr>
          <w:b/>
          <w:i/>
          <w:color w:val="auto"/>
          <w:sz w:val="24"/>
          <w:u w:val="single"/>
        </w:rPr>
        <w:t>Категорически запрещено:</w:t>
      </w:r>
    </w:p>
    <w:p w:rsidR="009A5391" w:rsidRPr="00E265F4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>-</w:t>
      </w:r>
      <w:r>
        <w:rPr>
          <w:color w:val="auto"/>
          <w:sz w:val="24"/>
        </w:rPr>
        <w:t xml:space="preserve"> </w:t>
      </w:r>
      <w:r w:rsidR="009A5391" w:rsidRPr="00E265F4">
        <w:rPr>
          <w:color w:val="auto"/>
          <w:sz w:val="24"/>
        </w:rPr>
        <w:t xml:space="preserve">устройство проемов, вырубка ниш, пробивка отверстий, </w:t>
      </w:r>
      <w:proofErr w:type="spellStart"/>
      <w:r w:rsidR="009A5391" w:rsidRPr="00E265F4">
        <w:rPr>
          <w:color w:val="auto"/>
          <w:sz w:val="24"/>
        </w:rPr>
        <w:t>штроб</w:t>
      </w:r>
      <w:proofErr w:type="spellEnd"/>
      <w:r w:rsidR="009A5391" w:rsidRPr="00E265F4">
        <w:rPr>
          <w:color w:val="auto"/>
          <w:sz w:val="24"/>
        </w:rPr>
        <w:t xml:space="preserve"> в несущих железобетонных стенах-пилонах, стенах-диафрагмах жесткости; 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устройство дополнительных проемов смежных по высоте помещений без согласования с проектной организацией - автором проекта МКД или его правопреемником, а при их отсутствии - без дополнительной экспертизы;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переносить санитарно-технические узлы и кухни в части помещений, не предназначенные для этих целей проектом;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портить внешний вид и сохранность фасадов;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E265F4">
        <w:rPr>
          <w:color w:val="auto"/>
          <w:sz w:val="24"/>
        </w:rPr>
        <w:t xml:space="preserve">- </w:t>
      </w:r>
      <w:r>
        <w:rPr>
          <w:color w:val="auto"/>
          <w:sz w:val="24"/>
        </w:rPr>
        <w:t>о</w:t>
      </w:r>
      <w:r w:rsidR="009A5391" w:rsidRPr="009A5391">
        <w:rPr>
          <w:color w:val="auto"/>
          <w:sz w:val="24"/>
        </w:rPr>
        <w:t>бразовывать части помещений (комнаты) без естественного освещения и без отопительных приборов;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 xml:space="preserve">демонтировать датчики пожарной сигнализации без согласования и надзора </w:t>
      </w:r>
      <w:r w:rsidR="009A5391" w:rsidRPr="009A5391">
        <w:rPr>
          <w:color w:val="auto"/>
          <w:sz w:val="24"/>
        </w:rPr>
        <w:lastRenderedPageBreak/>
        <w:t>Управляющей компании;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срывать пломбы, демонтировать поквартирные (офисные) счетчики учета электроэнергии, водоснабжения без согласования и надзора Управляющей компании;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производить реконструкцию, любые строительные, ремонтные работы в местах общего пользования, устанавливать дополнительные перегородки, двери, совмещать места общего пользования с квартирами;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демонтировать наружные стены;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переустраивать лоджии не в соответствии с проектом, утвержденным департаментом Архитектуры Администрации г. Владивостока и без согласования с Управляющей компанией;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устанавливать наружные блоки кондиционеров с нарушением схемы крепления и в иных местах, чем определены настоящим Договором.</w:t>
      </w:r>
    </w:p>
    <w:p w:rsidR="009A5391" w:rsidRPr="009A5391" w:rsidRDefault="009A5391" w:rsidP="00E265F4">
      <w:pPr>
        <w:widowControl w:val="0"/>
        <w:numPr>
          <w:ilvl w:val="0"/>
          <w:numId w:val="43"/>
        </w:numPr>
        <w:spacing w:after="0" w:line="240" w:lineRule="auto"/>
        <w:ind w:left="0" w:right="0" w:firstLine="0"/>
        <w:rPr>
          <w:color w:val="auto"/>
          <w:sz w:val="24"/>
        </w:rPr>
      </w:pPr>
      <w:r w:rsidRPr="009A5391">
        <w:rPr>
          <w:color w:val="auto"/>
          <w:sz w:val="24"/>
        </w:rPr>
        <w:t>Не производить переустройство, перепланировку, реконструкцию помещения, перестановку имеющегося, либо установку дополнительного сантехнического и иного оборудования, не предусмотренных проектным решением (проектом) и производимых Собственником помещений без соблюдения требований, установленных действующим законодательством РФ. В случае проведения данных работ в соответствии с действующим законодательством РФ, до начала производства данных работ, предоставить Управляющей компании всю проектную и разрешительную документацию, подтверждающую законность проведения работ.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E265F4">
      <w:pPr>
        <w:widowControl w:val="0"/>
        <w:numPr>
          <w:ilvl w:val="0"/>
          <w:numId w:val="42"/>
        </w:numPr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r w:rsidRPr="009A5391">
        <w:rPr>
          <w:b/>
          <w:color w:val="auto"/>
          <w:sz w:val="24"/>
          <w:u w:val="single"/>
        </w:rPr>
        <w:t>Перечень необходимых документов для получения решения</w:t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r w:rsidRPr="009A5391">
        <w:rPr>
          <w:b/>
          <w:color w:val="auto"/>
          <w:sz w:val="24"/>
          <w:u w:val="single"/>
        </w:rPr>
        <w:t>о согласовании переустройства и (или) перепланировки</w:t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r w:rsidRPr="009A5391">
        <w:rPr>
          <w:b/>
          <w:color w:val="auto"/>
          <w:sz w:val="24"/>
          <w:u w:val="single"/>
        </w:rPr>
        <w:t>(ст. 26 Жилищного кодекса РФ)</w:t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9A5391">
        <w:rPr>
          <w:color w:val="auto"/>
          <w:sz w:val="24"/>
        </w:rPr>
        <w:t xml:space="preserve">1) заявление о переустройстве и (или) перепланировке </w:t>
      </w:r>
      <w:r w:rsidRPr="00E265F4">
        <w:rPr>
          <w:color w:val="auto"/>
          <w:sz w:val="24"/>
        </w:rPr>
        <w:t>по</w:t>
      </w:r>
      <w:r w:rsidR="00E265F4">
        <w:rPr>
          <w:color w:val="auto"/>
          <w:sz w:val="24"/>
        </w:rPr>
        <w:t xml:space="preserve"> </w:t>
      </w:r>
      <w:hyperlink r:id="rId8" w:anchor="dst100010" w:history="1">
        <w:r w:rsidRPr="00E265F4">
          <w:rPr>
            <w:rStyle w:val="a9"/>
            <w:color w:val="auto"/>
            <w:sz w:val="24"/>
            <w:u w:val="none"/>
          </w:rPr>
          <w:t>форме</w:t>
        </w:r>
      </w:hyperlink>
      <w:r w:rsidRPr="00E265F4">
        <w:rPr>
          <w:color w:val="auto"/>
          <w:sz w:val="24"/>
        </w:rPr>
        <w:t>,</w:t>
      </w:r>
      <w:r w:rsidRPr="009A5391">
        <w:rPr>
          <w:color w:val="auto"/>
          <w:sz w:val="24"/>
        </w:rPr>
        <w:t xml:space="preserve"> утвержденной уполномоченным Правительством Российской Федерации федеральным органом исполнительной власти;</w:t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9A5391">
        <w:rPr>
          <w:color w:val="auto"/>
          <w:sz w:val="24"/>
        </w:rPr>
        <w:t>(в ред. Федерального</w:t>
      </w:r>
      <w:r w:rsidR="00E265F4">
        <w:rPr>
          <w:color w:val="auto"/>
          <w:sz w:val="24"/>
        </w:rPr>
        <w:t xml:space="preserve"> </w:t>
      </w:r>
      <w:hyperlink r:id="rId9" w:anchor="dst100635" w:history="1">
        <w:r w:rsidRPr="00E265F4">
          <w:rPr>
            <w:rStyle w:val="a9"/>
            <w:color w:val="auto"/>
            <w:sz w:val="24"/>
            <w:u w:val="none"/>
          </w:rPr>
          <w:t>закона</w:t>
        </w:r>
      </w:hyperlink>
      <w:r w:rsidR="00E265F4">
        <w:rPr>
          <w:color w:val="auto"/>
          <w:sz w:val="24"/>
        </w:rPr>
        <w:t xml:space="preserve"> </w:t>
      </w:r>
      <w:r w:rsidRPr="009A5391">
        <w:rPr>
          <w:color w:val="auto"/>
          <w:sz w:val="24"/>
        </w:rPr>
        <w:t>от 23.07.2008 N 160-ФЗ)</w:t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bookmarkStart w:id="1" w:name="dst100204"/>
      <w:bookmarkEnd w:id="1"/>
      <w:r w:rsidRPr="009A5391">
        <w:rPr>
          <w:color w:val="auto"/>
          <w:sz w:val="24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bookmarkStart w:id="2" w:name="dst100205"/>
      <w:bookmarkEnd w:id="2"/>
      <w:r w:rsidRPr="009A5391">
        <w:rPr>
          <w:color w:val="auto"/>
          <w:sz w:val="24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bookmarkStart w:id="3" w:name="dst100206"/>
      <w:bookmarkEnd w:id="3"/>
      <w:r w:rsidRPr="009A5391">
        <w:rPr>
          <w:color w:val="auto"/>
          <w:sz w:val="24"/>
        </w:rPr>
        <w:t xml:space="preserve">4) </w:t>
      </w:r>
      <w:r w:rsidRPr="00E265F4">
        <w:rPr>
          <w:color w:val="auto"/>
          <w:sz w:val="24"/>
        </w:rPr>
        <w:t>технический</w:t>
      </w:r>
      <w:r w:rsidR="00E265F4">
        <w:rPr>
          <w:color w:val="auto"/>
          <w:sz w:val="24"/>
        </w:rPr>
        <w:t xml:space="preserve"> </w:t>
      </w:r>
      <w:hyperlink r:id="rId10" w:anchor="dst101358" w:history="1">
        <w:r w:rsidRPr="00E265F4">
          <w:rPr>
            <w:rStyle w:val="a9"/>
            <w:color w:val="auto"/>
            <w:sz w:val="24"/>
            <w:u w:val="none"/>
          </w:rPr>
          <w:t>паспорт</w:t>
        </w:r>
      </w:hyperlink>
      <w:r w:rsidR="00E265F4">
        <w:rPr>
          <w:color w:val="auto"/>
          <w:sz w:val="24"/>
        </w:rPr>
        <w:t xml:space="preserve"> </w:t>
      </w:r>
      <w:r w:rsidRPr="00E265F4">
        <w:rPr>
          <w:color w:val="auto"/>
          <w:sz w:val="24"/>
        </w:rPr>
        <w:t xml:space="preserve">переустраиваемого </w:t>
      </w:r>
      <w:r w:rsidRPr="009A5391">
        <w:rPr>
          <w:color w:val="auto"/>
          <w:sz w:val="24"/>
        </w:rPr>
        <w:t>и (или) перепланируемого жилого помещения;</w:t>
      </w:r>
    </w:p>
    <w:p w:rsidR="009A5391" w:rsidRDefault="009A5391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bookmarkStart w:id="4" w:name="dst100207"/>
      <w:bookmarkEnd w:id="4"/>
      <w:r w:rsidRPr="009A5391">
        <w:rPr>
          <w:color w:val="auto"/>
          <w:sz w:val="24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E265F4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</w:p>
    <w:p w:rsidR="009A5391" w:rsidRPr="009A5391" w:rsidRDefault="009A5391" w:rsidP="00E265F4">
      <w:pPr>
        <w:widowControl w:val="0"/>
        <w:numPr>
          <w:ilvl w:val="0"/>
          <w:numId w:val="42"/>
        </w:numPr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bookmarkStart w:id="5" w:name="dst100208"/>
      <w:bookmarkEnd w:id="5"/>
      <w:r w:rsidRPr="009A5391">
        <w:rPr>
          <w:b/>
          <w:color w:val="auto"/>
          <w:sz w:val="24"/>
          <w:u w:val="single"/>
        </w:rPr>
        <w:t>Регламенты производства строительных и ремонтных работ</w:t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r w:rsidRPr="009A5391">
        <w:rPr>
          <w:b/>
          <w:color w:val="auto"/>
          <w:sz w:val="24"/>
          <w:u w:val="single"/>
        </w:rPr>
        <w:t>в помещениях МКД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</w:p>
    <w:p w:rsidR="009A5391" w:rsidRPr="009A5391" w:rsidRDefault="009A5391" w:rsidP="00E265F4">
      <w:pPr>
        <w:widowControl w:val="0"/>
        <w:spacing w:after="0" w:line="240" w:lineRule="auto"/>
        <w:ind w:left="0" w:right="0" w:firstLine="0"/>
        <w:rPr>
          <w:b/>
          <w:bCs/>
          <w:i/>
          <w:iCs/>
          <w:color w:val="auto"/>
          <w:sz w:val="24"/>
        </w:rPr>
      </w:pPr>
      <w:r w:rsidRPr="009A5391">
        <w:rPr>
          <w:b/>
          <w:bCs/>
          <w:i/>
          <w:iCs/>
          <w:color w:val="auto"/>
          <w:sz w:val="24"/>
        </w:rPr>
        <w:t>3.1 Регламент выполнения строительных (монтажных) работ на системах водоснабжения и водоотведения помещений.</w:t>
      </w:r>
      <w:r w:rsidRPr="009A5391">
        <w:rPr>
          <w:b/>
          <w:bCs/>
          <w:i/>
          <w:iCs/>
          <w:color w:val="auto"/>
          <w:sz w:val="24"/>
        </w:rPr>
        <w:tab/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0"/>
        <w:rPr>
          <w:b/>
          <w:bCs/>
          <w:i/>
          <w:iCs/>
          <w:color w:val="auto"/>
          <w:sz w:val="24"/>
        </w:rPr>
      </w:pPr>
      <w:r w:rsidRPr="009A5391">
        <w:rPr>
          <w:b/>
          <w:bCs/>
          <w:i/>
          <w:iCs/>
          <w:color w:val="auto"/>
          <w:sz w:val="24"/>
        </w:rPr>
        <w:tab/>
      </w:r>
    </w:p>
    <w:p w:rsidR="009A5391" w:rsidRPr="009A5391" w:rsidRDefault="009A5391" w:rsidP="00E265F4">
      <w:pPr>
        <w:widowControl w:val="0"/>
        <w:spacing w:after="0" w:line="240" w:lineRule="auto"/>
        <w:ind w:left="0" w:right="0" w:firstLine="851"/>
        <w:rPr>
          <w:bCs/>
          <w:iCs/>
          <w:color w:val="auto"/>
          <w:sz w:val="24"/>
        </w:rPr>
      </w:pPr>
      <w:r w:rsidRPr="009A5391">
        <w:rPr>
          <w:bCs/>
          <w:iCs/>
          <w:color w:val="auto"/>
          <w:sz w:val="24"/>
        </w:rPr>
        <w:t>При монтаже/реконструкции систем холодного водоснабжения и водоотведения помещений не в соответствии с проектом строительства многоквартирного дома: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bCs/>
          <w:iCs/>
          <w:color w:val="auto"/>
          <w:sz w:val="24"/>
        </w:rPr>
        <w:t xml:space="preserve">- </w:t>
      </w:r>
      <w:r w:rsidR="009A5391" w:rsidRPr="009A5391">
        <w:rPr>
          <w:bCs/>
          <w:iCs/>
          <w:color w:val="auto"/>
          <w:sz w:val="24"/>
        </w:rPr>
        <w:t>получить Решение о согласовании переустройства и/или перепланировки помещения в соответствии с действующим законодательством РФ (раздел 2 настоящего Приложения)</w:t>
      </w:r>
      <w:r w:rsidR="009A5391" w:rsidRPr="009A5391">
        <w:rPr>
          <w:color w:val="auto"/>
          <w:sz w:val="24"/>
        </w:rPr>
        <w:t>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 xml:space="preserve">все работы производить в соответствии со Схемой разграничения зон ответственности - только в зоне ответственности Собственника (Схемы № 1, 2). Производство работ (демонтаж, </w:t>
      </w:r>
      <w:r w:rsidR="009A5391" w:rsidRPr="009A5391">
        <w:rPr>
          <w:color w:val="auto"/>
          <w:sz w:val="24"/>
        </w:rPr>
        <w:lastRenderedPageBreak/>
        <w:t>замена, перенос стояков) в зоне ответственности Управляющей компании категорически запрещено;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при необходимости, заблаговременно подавать в Управляющую компанию заявки на временное отключение общедомовой системы водоснабжения;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при демонтаже, замене индивидуальных счётчиков пригласить представителя Управляющей компании для актирования и пломбировки. Не нарушать целостность пломб;</w:t>
      </w:r>
    </w:p>
    <w:p w:rsidR="009A5391" w:rsidRPr="009A5391" w:rsidRDefault="00E265F4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9A5391" w:rsidRPr="009A5391">
        <w:rPr>
          <w:color w:val="auto"/>
          <w:sz w:val="24"/>
        </w:rPr>
        <w:t>предоставить в Управляющую компанию копии договора и лицензии организации,</w:t>
      </w:r>
    </w:p>
    <w:p w:rsidR="009A5391" w:rsidRPr="00E265F4" w:rsidRDefault="009A5391" w:rsidP="00E265F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9A5391">
        <w:rPr>
          <w:color w:val="auto"/>
          <w:sz w:val="24"/>
        </w:rPr>
        <w:t>проводившей монтажные работы, с точным указанием названия, адреса и телефона организации.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  <w:r w:rsidRPr="009A5391">
        <w:rPr>
          <w:b/>
          <w:color w:val="auto"/>
          <w:sz w:val="24"/>
        </w:rPr>
        <w:t>Схема № 1 Разграничение зон ответственности систем холодного (</w:t>
      </w:r>
      <w:r w:rsidR="00E265F4" w:rsidRPr="009A5391">
        <w:rPr>
          <w:b/>
          <w:color w:val="auto"/>
          <w:sz w:val="24"/>
        </w:rPr>
        <w:t>ХВС) водоснабжения</w:t>
      </w:r>
      <w:r w:rsidRPr="009A5391">
        <w:rPr>
          <w:b/>
          <w:color w:val="auto"/>
          <w:sz w:val="24"/>
        </w:rPr>
        <w:t>: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3"/>
        <w:gridCol w:w="3008"/>
      </w:tblGrid>
      <w:tr w:rsidR="009A5391" w:rsidRPr="009A5391" w:rsidTr="00F8597D">
        <w:tc>
          <w:tcPr>
            <w:tcW w:w="5069" w:type="dxa"/>
            <w:hideMark/>
          </w:tcPr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  <w:r w:rsidRPr="009A5391">
              <w:rPr>
                <w:b/>
                <w:noProof/>
                <w:color w:val="auto"/>
                <w:sz w:val="24"/>
              </w:rPr>
              <w:drawing>
                <wp:inline distT="0" distB="0" distL="0" distR="0" wp14:anchorId="3B71EE1F" wp14:editId="1CC8F04F">
                  <wp:extent cx="3998595" cy="3602990"/>
                  <wp:effectExtent l="0" t="0" r="1905" b="0"/>
                  <wp:docPr id="1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8595" cy="360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color w:val="auto"/>
                <w:sz w:val="24"/>
              </w:rPr>
              <w:t xml:space="preserve">В зоне ответственности (обслуживания) Управляющей компании находятся транзитные стояки водоснабжения с отводами до первого вентиля. 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color w:val="auto"/>
                <w:sz w:val="24"/>
              </w:rPr>
              <w:t>В зоне ответственности Собственника находится вся система водоснабжения помещения, включая первый вентиль.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</w:p>
        </w:tc>
      </w:tr>
    </w:tbl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E265F4">
      <w:pPr>
        <w:widowControl w:val="0"/>
        <w:spacing w:after="0" w:line="240" w:lineRule="auto"/>
        <w:ind w:left="0" w:right="0" w:firstLine="0"/>
        <w:rPr>
          <w:b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  <w:r w:rsidRPr="009A5391">
        <w:rPr>
          <w:b/>
          <w:color w:val="auto"/>
          <w:sz w:val="24"/>
        </w:rPr>
        <w:t>Схема № 2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  <w:r w:rsidRPr="009A5391">
        <w:rPr>
          <w:b/>
          <w:color w:val="auto"/>
          <w:sz w:val="24"/>
        </w:rPr>
        <w:t>Разграничение зон ответственности системы водоотведения (канализации):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color w:val="auto"/>
          <w:sz w:val="24"/>
        </w:rPr>
      </w:pPr>
      <w:r w:rsidRPr="009A5391">
        <w:rPr>
          <w:noProof/>
          <w:color w:val="auto"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63B7C064" wp14:editId="1B5CB74A">
            <wp:simplePos x="0" y="0"/>
            <wp:positionH relativeFrom="margin">
              <wp:posOffset>118110</wp:posOffset>
            </wp:positionH>
            <wp:positionV relativeFrom="margin">
              <wp:posOffset>-263525</wp:posOffset>
            </wp:positionV>
            <wp:extent cx="2749550" cy="2760345"/>
            <wp:effectExtent l="0" t="0" r="0" b="1905"/>
            <wp:wrapSquare wrapText="bothSides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76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>В зоне ответственности (обслуживания) Управляющей компании находятся транзитный стояк водоотведения с вводным тройником/крестовиной.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bCs/>
          <w:i/>
          <w:iCs/>
          <w:color w:val="auto"/>
          <w:sz w:val="24"/>
        </w:rPr>
      </w:pPr>
      <w:bookmarkStart w:id="6" w:name="bookmark7"/>
      <w:r w:rsidRPr="009A5391">
        <w:rPr>
          <w:bCs/>
          <w:i/>
          <w:color w:val="auto"/>
          <w:sz w:val="24"/>
        </w:rPr>
        <w:t>3.2</w:t>
      </w:r>
      <w:r w:rsidRPr="009A5391">
        <w:rPr>
          <w:bCs/>
          <w:color w:val="auto"/>
          <w:sz w:val="24"/>
        </w:rPr>
        <w:t xml:space="preserve"> Регламент</w:t>
      </w:r>
      <w:r w:rsidRPr="009A5391">
        <w:rPr>
          <w:b/>
          <w:bCs/>
          <w:color w:val="auto"/>
          <w:sz w:val="24"/>
        </w:rPr>
        <w:t xml:space="preserve"> </w:t>
      </w:r>
      <w:r w:rsidRPr="009A5391">
        <w:rPr>
          <w:b/>
          <w:bCs/>
          <w:i/>
          <w:iCs/>
          <w:color w:val="auto"/>
          <w:sz w:val="24"/>
        </w:rPr>
        <w:t>выполнения работ по системам вентиляции</w:t>
      </w:r>
      <w:r w:rsidRPr="009A5391">
        <w:rPr>
          <w:i/>
          <w:iCs/>
          <w:color w:val="auto"/>
          <w:sz w:val="24"/>
        </w:rPr>
        <w:t xml:space="preserve">, </w:t>
      </w:r>
      <w:r w:rsidRPr="009A5391">
        <w:rPr>
          <w:b/>
          <w:bCs/>
          <w:i/>
          <w:iCs/>
          <w:color w:val="auto"/>
          <w:sz w:val="24"/>
        </w:rPr>
        <w:t>кондиционирования</w:t>
      </w:r>
      <w:bookmarkEnd w:id="6"/>
      <w:r w:rsidRPr="009A5391">
        <w:rPr>
          <w:b/>
          <w:bCs/>
          <w:i/>
          <w:iCs/>
          <w:color w:val="auto"/>
          <w:sz w:val="24"/>
        </w:rPr>
        <w:t xml:space="preserve"> помещений.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Cs/>
          <w:iCs/>
          <w:color w:val="auto"/>
          <w:sz w:val="24"/>
        </w:rPr>
      </w:pPr>
      <w:r w:rsidRPr="009A5391">
        <w:rPr>
          <w:bCs/>
          <w:iCs/>
          <w:color w:val="auto"/>
          <w:sz w:val="24"/>
        </w:rPr>
        <w:t>При монтаже систем вентиляции и кондиционирования помещений:</w:t>
      </w:r>
    </w:p>
    <w:p w:rsidR="009A5391" w:rsidRP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bCs/>
          <w:iCs/>
          <w:color w:val="auto"/>
          <w:sz w:val="24"/>
        </w:rPr>
        <w:t>получить Решение о согласовании переустройства и/или перепланировки помещения в соответствии с действующим законодательством РФ (раздел 2 настоящего Приложения)</w:t>
      </w:r>
      <w:r w:rsidRPr="009A5391">
        <w:rPr>
          <w:color w:val="auto"/>
          <w:sz w:val="24"/>
        </w:rPr>
        <w:t>;</w:t>
      </w:r>
    </w:p>
    <w:p w:rsidR="009A5391" w:rsidRP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b/>
          <w:color w:val="auto"/>
          <w:sz w:val="24"/>
          <w:u w:val="single"/>
        </w:rPr>
      </w:pPr>
      <w:r w:rsidRPr="009A5391">
        <w:rPr>
          <w:b/>
          <w:color w:val="auto"/>
          <w:sz w:val="24"/>
          <w:u w:val="single"/>
        </w:rPr>
        <w:t xml:space="preserve">частичный или полный демонтаж, реконструкция вентиляционных каналов кухонных помещений и санузлов категорически запрещён. </w:t>
      </w:r>
    </w:p>
    <w:p w:rsid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b/>
          <w:color w:val="auto"/>
          <w:sz w:val="24"/>
          <w:u w:val="single"/>
        </w:rPr>
      </w:pPr>
      <w:r w:rsidRPr="009A5391">
        <w:rPr>
          <w:b/>
          <w:color w:val="auto"/>
          <w:sz w:val="24"/>
          <w:u w:val="single"/>
        </w:rPr>
        <w:t>установку наружного блока кондиционера производить только на специально предназначенных для этого местах – панели межэтажных перекрытий окрашенные в белый цвет с фасадной части дома</w:t>
      </w:r>
      <w:r w:rsidR="00B64FD1">
        <w:rPr>
          <w:b/>
          <w:color w:val="auto"/>
          <w:sz w:val="24"/>
          <w:u w:val="single"/>
        </w:rPr>
        <w:t xml:space="preserve">, в </w:t>
      </w:r>
      <w:r w:rsidR="003B26A1">
        <w:rPr>
          <w:b/>
          <w:color w:val="auto"/>
          <w:sz w:val="24"/>
          <w:u w:val="single"/>
        </w:rPr>
        <w:t>соответствии</w:t>
      </w:r>
      <w:r w:rsidR="00B64FD1">
        <w:rPr>
          <w:b/>
          <w:color w:val="auto"/>
          <w:sz w:val="24"/>
          <w:u w:val="single"/>
        </w:rPr>
        <w:t xml:space="preserve"> со схемой:</w:t>
      </w:r>
    </w:p>
    <w:p w:rsidR="00B64FD1" w:rsidRDefault="00B64FD1" w:rsidP="00B64FD1">
      <w:pPr>
        <w:widowControl w:val="0"/>
        <w:spacing w:after="0" w:line="240" w:lineRule="auto"/>
        <w:ind w:right="0"/>
        <w:rPr>
          <w:b/>
          <w:color w:val="auto"/>
          <w:sz w:val="24"/>
          <w:u w:val="single"/>
        </w:rPr>
      </w:pPr>
      <w:r>
        <w:rPr>
          <w:b/>
          <w:noProof/>
          <w:color w:val="auto"/>
          <w:sz w:val="24"/>
          <w:u w:val="single"/>
        </w:rPr>
        <w:drawing>
          <wp:inline distT="0" distB="0" distL="0" distR="0" wp14:anchorId="508E0191">
            <wp:extent cx="2797189" cy="33242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21" cy="334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auto"/>
          <w:sz w:val="24"/>
          <w:u w:val="single"/>
        </w:rPr>
        <w:drawing>
          <wp:inline distT="0" distB="0" distL="0" distR="0" wp14:anchorId="09CB0BC2">
            <wp:extent cx="3239256" cy="3219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10" cy="3239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176" w:rsidRPr="009A5391" w:rsidRDefault="00B95176" w:rsidP="00B64FD1">
      <w:pPr>
        <w:widowControl w:val="0"/>
        <w:spacing w:after="0" w:line="240" w:lineRule="auto"/>
        <w:ind w:right="0"/>
        <w:rPr>
          <w:b/>
          <w:color w:val="auto"/>
          <w:sz w:val="24"/>
          <w:u w:val="single"/>
        </w:rPr>
      </w:pPr>
      <w:r>
        <w:rPr>
          <w:b/>
          <w:noProof/>
          <w:color w:val="auto"/>
          <w:sz w:val="24"/>
          <w:u w:val="single"/>
        </w:rPr>
        <w:lastRenderedPageBreak/>
        <w:drawing>
          <wp:inline distT="0" distB="0" distL="0" distR="0">
            <wp:extent cx="5800090" cy="3571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орзины-Model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" t="8062" r="3067" b="10224"/>
                    <a:stretch/>
                  </pic:blipFill>
                  <pic:spPr bwMode="auto">
                    <a:xfrm>
                      <a:off x="0" y="0"/>
                      <a:ext cx="5834716" cy="3593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391" w:rsidRP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>после прокладки воздуховодов и фреон проводов восстановить целостность и герметичность фасада здания;</w:t>
      </w:r>
    </w:p>
    <w:p w:rsidR="009A5391" w:rsidRP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>учитывать максимально допустимую вводную мощность в помещение, не допускать перегрузок вводных и внутренних электрических сетей помещения;</w:t>
      </w:r>
    </w:p>
    <w:p w:rsidR="009A5391" w:rsidRP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 xml:space="preserve">предоставить в Управляющую компанию копии договора и лицензии организации, проводившей монтажные работы, с точным указанием названия, адреса и телефона организации. </w:t>
      </w:r>
    </w:p>
    <w:p w:rsidR="009A5391" w:rsidRP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>сливные трубки под конденсат внутреннего блока выводить в систему канализации (для исключения выпадения конденсата на придомовую территорию, создавая неудобства жителям Многоквартирного дома)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</w:p>
    <w:p w:rsidR="009A5391" w:rsidRPr="009A5391" w:rsidRDefault="009A5391" w:rsidP="009A5391">
      <w:pPr>
        <w:widowControl w:val="0"/>
        <w:numPr>
          <w:ilvl w:val="1"/>
          <w:numId w:val="42"/>
        </w:numPr>
        <w:spacing w:after="0" w:line="240" w:lineRule="auto"/>
        <w:ind w:right="0"/>
        <w:rPr>
          <w:b/>
          <w:i/>
          <w:color w:val="auto"/>
          <w:sz w:val="24"/>
        </w:rPr>
      </w:pPr>
      <w:bookmarkStart w:id="7" w:name="bookmark9"/>
      <w:r w:rsidRPr="009A5391">
        <w:rPr>
          <w:b/>
          <w:color w:val="auto"/>
          <w:sz w:val="24"/>
        </w:rPr>
        <w:t xml:space="preserve">Регламент </w:t>
      </w:r>
      <w:r w:rsidRPr="009A5391">
        <w:rPr>
          <w:b/>
          <w:i/>
          <w:color w:val="auto"/>
          <w:sz w:val="24"/>
        </w:rPr>
        <w:t>выполнения работ по слаботочной сети</w:t>
      </w:r>
      <w:bookmarkStart w:id="8" w:name="bookmark10"/>
      <w:bookmarkEnd w:id="7"/>
      <w:r w:rsidRPr="009A5391">
        <w:rPr>
          <w:b/>
          <w:i/>
          <w:color w:val="auto"/>
          <w:sz w:val="24"/>
        </w:rPr>
        <w:t xml:space="preserve"> (телефонизация, интернет, кабельное телевидение, домофон, пожарная сигнализация.)</w:t>
      </w:r>
      <w:bookmarkEnd w:id="8"/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i/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/>
          <w:i/>
          <w:color w:val="auto"/>
          <w:sz w:val="24"/>
        </w:rPr>
      </w:pPr>
      <w:r w:rsidRPr="009A5391">
        <w:rPr>
          <w:color w:val="auto"/>
          <w:sz w:val="24"/>
        </w:rPr>
        <w:tab/>
        <w:t>Все работы по слаботочной сети выполняются подрядными организациями, у которых заключены договора на проведение указанных работ с Управляющей компанией.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ab/>
        <w:t>Самостоятельно производить работы допускается в соответствии со Схемой разграничения зон ответственности - только в зоне ответственности Собственника (Схемы № 3, 4). Прокладка кабеля в местах общего пользования Многоквартирного дома должна производиться подрядными организациями в существующем кабель-канале. Самостоятельная прокладка кабелей в местах общего пользования по стенам, потолкам не допускается.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011"/>
        <w:gridCol w:w="4344"/>
      </w:tblGrid>
      <w:tr w:rsidR="009A5391" w:rsidRPr="009A5391" w:rsidTr="00F8597D">
        <w:trPr>
          <w:trHeight w:val="4566"/>
        </w:trPr>
        <w:tc>
          <w:tcPr>
            <w:tcW w:w="5041" w:type="dxa"/>
            <w:hideMark/>
          </w:tcPr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noProof/>
                <w:color w:val="auto"/>
                <w:sz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EF04821" wp14:editId="730C074E">
                  <wp:simplePos x="0" y="0"/>
                  <wp:positionH relativeFrom="margin">
                    <wp:posOffset>-64135</wp:posOffset>
                  </wp:positionH>
                  <wp:positionV relativeFrom="margin">
                    <wp:posOffset>139700</wp:posOffset>
                  </wp:positionV>
                  <wp:extent cx="2943225" cy="2800985"/>
                  <wp:effectExtent l="0" t="0" r="9525" b="0"/>
                  <wp:wrapSquare wrapText="bothSides"/>
                  <wp:docPr id="4" name="Рисунок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" b="17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800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b/>
                <w:color w:val="auto"/>
                <w:sz w:val="24"/>
              </w:rPr>
              <w:t>Схема № 3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  <w:r w:rsidRPr="009A5391">
              <w:rPr>
                <w:b/>
                <w:color w:val="auto"/>
                <w:sz w:val="24"/>
              </w:rPr>
              <w:t>Разграничение зон ответственности системы охранно-пожарной сигнализации (ОПС) и автоматизированной противопожарной защиты (АППЗ):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color w:val="auto"/>
                <w:sz w:val="24"/>
              </w:rPr>
              <w:t>Автономные пожарные извещатели (АПИ), установленные в помещении, – зона ответственности Собственника.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</w:tc>
      </w:tr>
    </w:tbl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>При проведении ремонтных и отделочных работ в помещении возможно временное отключение/демонтаж АПИ, с последующим   монтажом и размещением их в местах, указанных застройщиком.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 xml:space="preserve">Размещение датчиков за натяжными потолками, внутри шкафов, ящиков, тумб, ванных комнатах </w:t>
      </w:r>
      <w:r w:rsidRPr="009A5391">
        <w:rPr>
          <w:b/>
          <w:color w:val="auto"/>
          <w:sz w:val="24"/>
        </w:rPr>
        <w:t>ЗАПРЕЩАЕТСЯ!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9"/>
        <w:gridCol w:w="4722"/>
      </w:tblGrid>
      <w:tr w:rsidR="009A5391" w:rsidRPr="009A5391" w:rsidTr="00F8597D">
        <w:tc>
          <w:tcPr>
            <w:tcW w:w="5069" w:type="dxa"/>
            <w:hideMark/>
          </w:tcPr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noProof/>
                <w:color w:val="auto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2F813C10" wp14:editId="0BEA0E0D">
                  <wp:simplePos x="0" y="0"/>
                  <wp:positionH relativeFrom="margin">
                    <wp:posOffset>57785</wp:posOffset>
                  </wp:positionH>
                  <wp:positionV relativeFrom="margin">
                    <wp:posOffset>180340</wp:posOffset>
                  </wp:positionV>
                  <wp:extent cx="3030855" cy="2722245"/>
                  <wp:effectExtent l="0" t="0" r="0" b="1905"/>
                  <wp:wrapSquare wrapText="bothSides"/>
                  <wp:docPr id="3" name="Рисунок 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2722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0" w:type="dxa"/>
          </w:tcPr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  <w:r w:rsidRPr="009A5391">
              <w:rPr>
                <w:b/>
                <w:color w:val="auto"/>
                <w:sz w:val="24"/>
              </w:rPr>
              <w:t>Схема № 4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  <w:r w:rsidRPr="009A5391">
              <w:rPr>
                <w:b/>
                <w:color w:val="auto"/>
                <w:sz w:val="24"/>
              </w:rPr>
              <w:t>Разграничение зон ответственности системы переговорно-замочного устройства (ПЗУ/домофон), а также телефонов, интернета, кабельного телевидения: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color w:val="auto"/>
                <w:sz w:val="24"/>
              </w:rPr>
              <w:t xml:space="preserve">Подрядная компания обеспечивает разводку кабеля в местах общего пользования и подключение к общедомовому кабелю – зона ответственности Управляющей компании. 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color w:val="auto"/>
                <w:sz w:val="24"/>
              </w:rPr>
              <w:t>Разводка кабеля по помещению и подключение к электронным приборам – зона ответственности Собственника.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</w:tc>
      </w:tr>
    </w:tbl>
    <w:p w:rsidR="009A5391" w:rsidRPr="009A5391" w:rsidRDefault="009A5391" w:rsidP="009A5391">
      <w:pPr>
        <w:widowControl w:val="0"/>
        <w:numPr>
          <w:ilvl w:val="1"/>
          <w:numId w:val="42"/>
        </w:numPr>
        <w:spacing w:after="0" w:line="240" w:lineRule="auto"/>
        <w:ind w:right="0"/>
        <w:rPr>
          <w:b/>
          <w:bCs/>
          <w:i/>
          <w:iCs/>
          <w:color w:val="auto"/>
          <w:sz w:val="24"/>
        </w:rPr>
      </w:pPr>
      <w:r w:rsidRPr="009A5391">
        <w:rPr>
          <w:b/>
          <w:bCs/>
          <w:i/>
          <w:iCs/>
          <w:color w:val="auto"/>
          <w:sz w:val="24"/>
        </w:rPr>
        <w:t xml:space="preserve">Регламент выполнения работ по электрооборудованию помещений. </w:t>
      </w:r>
    </w:p>
    <w:p w:rsidR="009A5391" w:rsidRPr="009A5391" w:rsidRDefault="009A5391" w:rsidP="009A5391">
      <w:pPr>
        <w:widowControl w:val="0"/>
        <w:spacing w:after="0" w:line="240" w:lineRule="auto"/>
        <w:ind w:right="0"/>
        <w:rPr>
          <w:bCs/>
          <w:iCs/>
          <w:color w:val="auto"/>
          <w:sz w:val="24"/>
        </w:rPr>
      </w:pPr>
      <w:r w:rsidRPr="009A5391">
        <w:rPr>
          <w:bCs/>
          <w:iCs/>
          <w:color w:val="auto"/>
          <w:sz w:val="24"/>
        </w:rPr>
        <w:t>При выполнении работ по электрооборудованию помещений не в соответствии с проектом строительства Многоквартирного дома:</w:t>
      </w:r>
    </w:p>
    <w:p w:rsidR="009A5391" w:rsidRP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bCs/>
          <w:iCs/>
          <w:color w:val="auto"/>
          <w:sz w:val="24"/>
        </w:rPr>
        <w:t>получить Решение о согласовании переустройства и/или перепланировки помещения в соответствии с действующим законодательством РФ (раздел 2 настоящего Приложения)</w:t>
      </w:r>
      <w:r w:rsidRPr="009A5391">
        <w:rPr>
          <w:color w:val="auto"/>
          <w:sz w:val="24"/>
        </w:rPr>
        <w:t>;</w:t>
      </w:r>
    </w:p>
    <w:p w:rsidR="009A5391" w:rsidRP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>все работы производить в соответствии со Схемой разграничения зон ответственности - только в зоне ответственности Собственника (Схема № 5). Производство работ в зоне ответственности Управляющей компании категорически запрещено;</w:t>
      </w:r>
    </w:p>
    <w:p w:rsidR="009A5391" w:rsidRPr="00B64FD1" w:rsidRDefault="009A5391" w:rsidP="00B64FD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>при необходимости, заблаговременно подавать в Управляющую компанию заявки на временное отключение электроэнергии;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10"/>
        <w:gridCol w:w="3071"/>
      </w:tblGrid>
      <w:tr w:rsidR="009A5391" w:rsidRPr="009A5391" w:rsidTr="00F8597D">
        <w:tc>
          <w:tcPr>
            <w:tcW w:w="6714" w:type="dxa"/>
            <w:hideMark/>
          </w:tcPr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  <w:r w:rsidRPr="009A5391">
              <w:rPr>
                <w:noProof/>
                <w:color w:val="auto"/>
                <w:sz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D29D334" wp14:editId="38983A7F">
                  <wp:simplePos x="0" y="0"/>
                  <wp:positionH relativeFrom="margin">
                    <wp:posOffset>14605</wp:posOffset>
                  </wp:positionH>
                  <wp:positionV relativeFrom="margin">
                    <wp:posOffset>190500</wp:posOffset>
                  </wp:positionV>
                  <wp:extent cx="4121150" cy="3665855"/>
                  <wp:effectExtent l="0" t="0" r="0" b="0"/>
                  <wp:wrapSquare wrapText="bothSides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0" cy="3665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5" w:type="dxa"/>
          </w:tcPr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  <w:r w:rsidRPr="009A5391">
              <w:rPr>
                <w:b/>
                <w:color w:val="auto"/>
                <w:sz w:val="24"/>
              </w:rPr>
              <w:t>Схема № 5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  <w:r w:rsidRPr="009A5391">
              <w:rPr>
                <w:b/>
                <w:color w:val="auto"/>
                <w:sz w:val="24"/>
              </w:rPr>
              <w:t xml:space="preserve">Индивидуальные, общие (квартирные) приборы учета электрической энергии: 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color w:val="auto"/>
                <w:sz w:val="24"/>
              </w:rPr>
              <w:t>В зоне ответственности (обслуживания) Управляющей компании находятся транзитные стояки силовых кабелей до точек крепления провода к автоматическому выключателю.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color w:val="auto"/>
                <w:sz w:val="24"/>
              </w:rPr>
            </w:pPr>
            <w:r w:rsidRPr="009A5391">
              <w:rPr>
                <w:color w:val="auto"/>
                <w:sz w:val="24"/>
              </w:rPr>
              <w:t xml:space="preserve">В зоне ответственности Собственника находится всё электрооборудование помещения до точек подключения силового кабеля к вводному автоматическому выключателю, включая сам выключатель и счётчик. </w:t>
            </w:r>
          </w:p>
          <w:p w:rsidR="009A5391" w:rsidRPr="009A5391" w:rsidRDefault="009A5391" w:rsidP="009A5391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4"/>
              </w:rPr>
            </w:pPr>
          </w:p>
        </w:tc>
      </w:tr>
    </w:tbl>
    <w:p w:rsidR="009A5391" w:rsidRPr="009A5391" w:rsidRDefault="009A5391" w:rsidP="009A539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b/>
          <w:color w:val="auto"/>
          <w:sz w:val="24"/>
        </w:rPr>
        <w:t>Внимание! Помещения оборудованы одн</w:t>
      </w:r>
      <w:r w:rsidR="00280804">
        <w:rPr>
          <w:b/>
          <w:color w:val="auto"/>
          <w:sz w:val="24"/>
        </w:rPr>
        <w:t>о</w:t>
      </w:r>
      <w:r w:rsidRPr="009A5391">
        <w:rPr>
          <w:b/>
          <w:color w:val="auto"/>
          <w:sz w:val="24"/>
        </w:rPr>
        <w:t xml:space="preserve"> тарифными счётчиками. </w:t>
      </w:r>
      <w:r w:rsidRPr="009A5391">
        <w:rPr>
          <w:color w:val="auto"/>
          <w:sz w:val="24"/>
        </w:rPr>
        <w:t xml:space="preserve">Отключение, демонтаж, замена индивидуальных счётчиков допускается только специализированной организацией по заявлению в </w:t>
      </w:r>
      <w:bookmarkStart w:id="9" w:name="_GoBack"/>
      <w:bookmarkEnd w:id="9"/>
      <w:r w:rsidRPr="009A5391">
        <w:rPr>
          <w:color w:val="auto"/>
          <w:sz w:val="24"/>
        </w:rPr>
        <w:t>Управляющую компанию, в присутствии специалиста Управляющей компании для актирования, пломбировки и снятия показаний.</w:t>
      </w:r>
    </w:p>
    <w:p w:rsidR="00802D0E" w:rsidRPr="00B64FD1" w:rsidRDefault="009A5391" w:rsidP="00B64FD1">
      <w:pPr>
        <w:widowControl w:val="0"/>
        <w:numPr>
          <w:ilvl w:val="0"/>
          <w:numId w:val="46"/>
        </w:numPr>
        <w:spacing w:after="0" w:line="240" w:lineRule="auto"/>
        <w:ind w:right="0"/>
        <w:rPr>
          <w:color w:val="auto"/>
          <w:sz w:val="24"/>
        </w:rPr>
      </w:pPr>
      <w:r w:rsidRPr="009A5391">
        <w:rPr>
          <w:color w:val="auto"/>
          <w:sz w:val="24"/>
        </w:rPr>
        <w:t>предоставить в Управляющую компанию копии договора и лицензии организации, проводившей монтажные работы, с точным указанием названия, адреса и телефона организации.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15B16" w:rsidRPr="000B3593" w:rsidTr="00030E17"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3628E6" w:rsidRDefault="003628E6" w:rsidP="003628E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3628E6" w:rsidRDefault="003628E6" w:rsidP="003628E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3628E6" w:rsidRDefault="003628E6" w:rsidP="003628E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3628E6" w:rsidRDefault="003628E6" w:rsidP="003628E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:rsidR="00802D0E" w:rsidRDefault="00802D0E" w:rsidP="00B64FD1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67A" w:rsidRDefault="009D667A">
      <w:pPr>
        <w:spacing w:after="0" w:line="240" w:lineRule="auto"/>
      </w:pPr>
      <w:r>
        <w:separator/>
      </w:r>
    </w:p>
  </w:endnote>
  <w:endnote w:type="continuationSeparator" w:id="0">
    <w:p w:rsidR="009D667A" w:rsidRDefault="009D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334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67A" w:rsidRDefault="009D667A">
      <w:pPr>
        <w:spacing w:after="0" w:line="240" w:lineRule="auto"/>
      </w:pPr>
      <w:r>
        <w:separator/>
      </w:r>
    </w:p>
  </w:footnote>
  <w:footnote w:type="continuationSeparator" w:id="0">
    <w:p w:rsidR="009D667A" w:rsidRDefault="009D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590033"/>
    <w:multiLevelType w:val="hybridMultilevel"/>
    <w:tmpl w:val="0A162A2C"/>
    <w:lvl w:ilvl="0" w:tplc="FB2C4AE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5" w15:restartNumberingAfterBreak="0">
    <w:nsid w:val="1DF9230F"/>
    <w:multiLevelType w:val="hybridMultilevel"/>
    <w:tmpl w:val="70F86A28"/>
    <w:lvl w:ilvl="0" w:tplc="2B107266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9966137"/>
    <w:multiLevelType w:val="hybridMultilevel"/>
    <w:tmpl w:val="750CC062"/>
    <w:lvl w:ilvl="0" w:tplc="2B107266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40175"/>
    <w:multiLevelType w:val="hybridMultilevel"/>
    <w:tmpl w:val="2834A2AA"/>
    <w:lvl w:ilvl="0" w:tplc="2B107266">
      <w:start w:val="1"/>
      <w:numFmt w:val="bullet"/>
      <w:lvlText w:val="–"/>
      <w:lvlJc w:val="left"/>
      <w:pPr>
        <w:ind w:left="1141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416F020D"/>
    <w:multiLevelType w:val="hybridMultilevel"/>
    <w:tmpl w:val="9EEA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C954E0"/>
    <w:multiLevelType w:val="multilevel"/>
    <w:tmpl w:val="CE229B9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b w:val="0"/>
      </w:rPr>
    </w:lvl>
  </w:abstractNum>
  <w:abstractNum w:abstractNumId="34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D21891"/>
    <w:multiLevelType w:val="hybridMultilevel"/>
    <w:tmpl w:val="5CB2B022"/>
    <w:lvl w:ilvl="0" w:tplc="5AC848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961D7B"/>
    <w:multiLevelType w:val="hybridMultilevel"/>
    <w:tmpl w:val="92D2232A"/>
    <w:lvl w:ilvl="0" w:tplc="6A965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371670"/>
    <w:multiLevelType w:val="hybridMultilevel"/>
    <w:tmpl w:val="1398F070"/>
    <w:lvl w:ilvl="0" w:tplc="D45A3B86">
      <w:numFmt w:val="bullet"/>
      <w:lvlText w:val="-"/>
      <w:lvlJc w:val="left"/>
      <w:pPr>
        <w:ind w:left="6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8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9"/>
  </w:num>
  <w:num w:numId="2">
    <w:abstractNumId w:val="12"/>
  </w:num>
  <w:num w:numId="3">
    <w:abstractNumId w:val="32"/>
  </w:num>
  <w:num w:numId="4">
    <w:abstractNumId w:val="0"/>
  </w:num>
  <w:num w:numId="5">
    <w:abstractNumId w:val="35"/>
  </w:num>
  <w:num w:numId="6">
    <w:abstractNumId w:val="22"/>
  </w:num>
  <w:num w:numId="7">
    <w:abstractNumId w:val="24"/>
  </w:num>
  <w:num w:numId="8">
    <w:abstractNumId w:val="37"/>
  </w:num>
  <w:num w:numId="9">
    <w:abstractNumId w:val="18"/>
  </w:num>
  <w:num w:numId="10">
    <w:abstractNumId w:val="3"/>
  </w:num>
  <w:num w:numId="11">
    <w:abstractNumId w:val="20"/>
  </w:num>
  <w:num w:numId="12">
    <w:abstractNumId w:val="2"/>
  </w:num>
  <w:num w:numId="13">
    <w:abstractNumId w:val="41"/>
  </w:num>
  <w:num w:numId="14">
    <w:abstractNumId w:val="42"/>
  </w:num>
  <w:num w:numId="15">
    <w:abstractNumId w:val="36"/>
  </w:num>
  <w:num w:numId="16">
    <w:abstractNumId w:val="29"/>
  </w:num>
  <w:num w:numId="17">
    <w:abstractNumId w:val="4"/>
  </w:num>
  <w:num w:numId="18">
    <w:abstractNumId w:val="44"/>
  </w:num>
  <w:num w:numId="19">
    <w:abstractNumId w:val="46"/>
  </w:num>
  <w:num w:numId="20">
    <w:abstractNumId w:val="45"/>
  </w:num>
  <w:num w:numId="21">
    <w:abstractNumId w:val="6"/>
  </w:num>
  <w:num w:numId="22">
    <w:abstractNumId w:val="9"/>
  </w:num>
  <w:num w:numId="23">
    <w:abstractNumId w:val="10"/>
  </w:num>
  <w:num w:numId="24">
    <w:abstractNumId w:val="21"/>
  </w:num>
  <w:num w:numId="25">
    <w:abstractNumId w:val="19"/>
  </w:num>
  <w:num w:numId="26">
    <w:abstractNumId w:val="5"/>
  </w:num>
  <w:num w:numId="27">
    <w:abstractNumId w:val="30"/>
  </w:num>
  <w:num w:numId="28">
    <w:abstractNumId w:val="34"/>
  </w:num>
  <w:num w:numId="29">
    <w:abstractNumId w:val="17"/>
  </w:num>
  <w:num w:numId="30">
    <w:abstractNumId w:val="8"/>
  </w:num>
  <w:num w:numId="31">
    <w:abstractNumId w:val="13"/>
  </w:num>
  <w:num w:numId="32">
    <w:abstractNumId w:val="40"/>
  </w:num>
  <w:num w:numId="33">
    <w:abstractNumId w:val="38"/>
  </w:num>
  <w:num w:numId="34">
    <w:abstractNumId w:val="48"/>
  </w:num>
  <w:num w:numId="35">
    <w:abstractNumId w:val="14"/>
  </w:num>
  <w:num w:numId="36">
    <w:abstractNumId w:val="25"/>
  </w:num>
  <w:num w:numId="37">
    <w:abstractNumId w:val="7"/>
  </w:num>
  <w:num w:numId="38">
    <w:abstractNumId w:val="23"/>
  </w:num>
  <w:num w:numId="39">
    <w:abstractNumId w:val="16"/>
  </w:num>
  <w:num w:numId="4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6"/>
  </w:num>
  <w:num w:numId="46">
    <w:abstractNumId w:val="27"/>
  </w:num>
  <w:num w:numId="47">
    <w:abstractNumId w:val="47"/>
  </w:num>
  <w:num w:numId="48">
    <w:abstractNumId w:val="43"/>
  </w:num>
  <w:num w:numId="49">
    <w:abstractNumId w:val="1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804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D2418"/>
    <w:rsid w:val="002E0FBE"/>
    <w:rsid w:val="002E4230"/>
    <w:rsid w:val="002E46E8"/>
    <w:rsid w:val="002E7CCD"/>
    <w:rsid w:val="003010F6"/>
    <w:rsid w:val="0030187D"/>
    <w:rsid w:val="003123E4"/>
    <w:rsid w:val="0031611F"/>
    <w:rsid w:val="003310F9"/>
    <w:rsid w:val="003316D8"/>
    <w:rsid w:val="00353928"/>
    <w:rsid w:val="00353CCE"/>
    <w:rsid w:val="00357493"/>
    <w:rsid w:val="003628E6"/>
    <w:rsid w:val="003728E0"/>
    <w:rsid w:val="0037726B"/>
    <w:rsid w:val="003901A7"/>
    <w:rsid w:val="003927F0"/>
    <w:rsid w:val="00395DD1"/>
    <w:rsid w:val="003A0689"/>
    <w:rsid w:val="003A7990"/>
    <w:rsid w:val="003B26A1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453C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3557B"/>
    <w:rsid w:val="00740334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4BE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A5391"/>
    <w:rsid w:val="009B1E8E"/>
    <w:rsid w:val="009B48E3"/>
    <w:rsid w:val="009C0ABB"/>
    <w:rsid w:val="009C160F"/>
    <w:rsid w:val="009C4E61"/>
    <w:rsid w:val="009C68B1"/>
    <w:rsid w:val="009D667A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15B16"/>
    <w:rsid w:val="00B32838"/>
    <w:rsid w:val="00B33BEC"/>
    <w:rsid w:val="00B445EE"/>
    <w:rsid w:val="00B54C35"/>
    <w:rsid w:val="00B57D54"/>
    <w:rsid w:val="00B60C1D"/>
    <w:rsid w:val="00B60D9C"/>
    <w:rsid w:val="00B62B49"/>
    <w:rsid w:val="00B64FD1"/>
    <w:rsid w:val="00B6697E"/>
    <w:rsid w:val="00B76FA1"/>
    <w:rsid w:val="00B85691"/>
    <w:rsid w:val="00B95176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265F4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4A9D"/>
    <w:rsid w:val="00F75883"/>
    <w:rsid w:val="00F8271B"/>
    <w:rsid w:val="00F82721"/>
    <w:rsid w:val="00F839DF"/>
    <w:rsid w:val="00F86C9D"/>
    <w:rsid w:val="00F916ED"/>
    <w:rsid w:val="00F94F12"/>
    <w:rsid w:val="00F97CA4"/>
    <w:rsid w:val="00FA59E2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BB318AE"/>
  <w15:docId w15:val="{A1B2F5C0-69C3-435E-B6C2-76491AD8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9A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3266/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header" Target="header3.xml"/><Relationship Id="rId10" Type="http://schemas.openxmlformats.org/officeDocument/2006/relationships/hyperlink" Target="http://www.consultant.ru/document/cons_doc_LAW_6238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8583/5a22d1ab20782908e8ec660856e62b2a7c17cd9a/" TargetMode="External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6D6B-DF0B-4B77-A510-25E8E62E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4</cp:revision>
  <cp:lastPrinted>2023-11-21T02:23:00Z</cp:lastPrinted>
  <dcterms:created xsi:type="dcterms:W3CDTF">2023-11-28T04:33:00Z</dcterms:created>
  <dcterms:modified xsi:type="dcterms:W3CDTF">2023-12-05T23:35:00Z</dcterms:modified>
</cp:coreProperties>
</file>